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D2" w:rsidRDefault="0023049D" w:rsidP="00CD4327">
      <w:pPr>
        <w:overflowPunct w:val="0"/>
        <w:textAlignment w:val="baseline"/>
      </w:pPr>
      <w:r w:rsidRPr="0023049D">
        <w:rPr>
          <w:rFonts w:hint="eastAsia"/>
          <w:u w:val="single"/>
        </w:rPr>
        <w:t>教科名　　理　科</w:t>
      </w:r>
      <w:r>
        <w:rPr>
          <w:rFonts w:hint="eastAsia"/>
        </w:rPr>
        <w:t xml:space="preserve">　　　</w:t>
      </w:r>
      <w:r w:rsidR="00C27F2D">
        <w:rPr>
          <w:rFonts w:hint="eastAsia"/>
          <w:u w:val="single"/>
        </w:rPr>
        <w:t>学年　　１</w:t>
      </w:r>
      <w:r>
        <w:rPr>
          <w:rFonts w:hint="eastAsia"/>
          <w:u w:val="single"/>
        </w:rPr>
        <w:t xml:space="preserve">　　年</w:t>
      </w:r>
    </w:p>
    <w:tbl>
      <w:tblPr>
        <w:tblStyle w:val="a7"/>
        <w:tblpPr w:leftFromText="142" w:rightFromText="142" w:vertAnchor="page" w:horzAnchor="margin" w:tblpY="1246"/>
        <w:tblW w:w="0" w:type="auto"/>
        <w:tblLook w:val="04A0" w:firstRow="1" w:lastRow="0" w:firstColumn="1" w:lastColumn="0" w:noHBand="0" w:noVBand="1"/>
      </w:tblPr>
      <w:tblGrid>
        <w:gridCol w:w="437"/>
        <w:gridCol w:w="3240"/>
        <w:gridCol w:w="508"/>
        <w:gridCol w:w="3809"/>
        <w:gridCol w:w="3810"/>
        <w:gridCol w:w="3810"/>
      </w:tblGrid>
      <w:tr w:rsidR="0023049D" w:rsidTr="0023049D">
        <w:trPr>
          <w:trHeight w:val="438"/>
        </w:trPr>
        <w:tc>
          <w:tcPr>
            <w:tcW w:w="437" w:type="dxa"/>
            <w:vMerge w:val="restart"/>
            <w:tcBorders>
              <w:top w:val="single" w:sz="12" w:space="0" w:color="auto"/>
              <w:left w:val="single" w:sz="12" w:space="0" w:color="auto"/>
            </w:tcBorders>
            <w:vAlign w:val="center"/>
          </w:tcPr>
          <w:p w:rsidR="0023049D" w:rsidRDefault="0023049D" w:rsidP="0023049D">
            <w:pPr>
              <w:overflowPunct w:val="0"/>
              <w:jc w:val="center"/>
              <w:textAlignment w:val="baseline"/>
            </w:pPr>
            <w:r>
              <w:rPr>
                <w:rFonts w:hint="eastAsia"/>
              </w:rPr>
              <w:t>月</w:t>
            </w:r>
          </w:p>
        </w:tc>
        <w:tc>
          <w:tcPr>
            <w:tcW w:w="3240" w:type="dxa"/>
            <w:vMerge w:val="restart"/>
            <w:tcBorders>
              <w:top w:val="single" w:sz="12" w:space="0" w:color="auto"/>
            </w:tcBorders>
            <w:vAlign w:val="center"/>
          </w:tcPr>
          <w:p w:rsidR="0023049D" w:rsidRDefault="0023049D" w:rsidP="0023049D">
            <w:pPr>
              <w:overflowPunct w:val="0"/>
              <w:jc w:val="center"/>
              <w:textAlignment w:val="baseline"/>
            </w:pPr>
            <w:r w:rsidRPr="00F2495E">
              <w:rPr>
                <w:rFonts w:hint="eastAsia"/>
              </w:rPr>
              <w:t>内</w:t>
            </w:r>
            <w:r w:rsidRPr="00F2495E">
              <w:t xml:space="preserve">    </w:t>
            </w:r>
            <w:r w:rsidRPr="00F2495E">
              <w:rPr>
                <w:rFonts w:hint="eastAsia"/>
              </w:rPr>
              <w:t>容　（　時　間　）</w:t>
            </w:r>
          </w:p>
        </w:tc>
        <w:tc>
          <w:tcPr>
            <w:tcW w:w="508" w:type="dxa"/>
            <w:vMerge w:val="restart"/>
            <w:tcBorders>
              <w:top w:val="single" w:sz="12" w:space="0" w:color="auto"/>
            </w:tcBorders>
            <w:textDirection w:val="tbRlV"/>
            <w:vAlign w:val="center"/>
          </w:tcPr>
          <w:p w:rsidR="0023049D" w:rsidRDefault="0023049D" w:rsidP="0023049D">
            <w:pPr>
              <w:overflowPunct w:val="0"/>
              <w:ind w:left="113" w:right="113"/>
              <w:jc w:val="center"/>
              <w:textAlignment w:val="baseline"/>
            </w:pPr>
            <w:r>
              <w:rPr>
                <w:rFonts w:hint="eastAsia"/>
              </w:rPr>
              <w:t>時間</w:t>
            </w:r>
          </w:p>
        </w:tc>
        <w:tc>
          <w:tcPr>
            <w:tcW w:w="11429" w:type="dxa"/>
            <w:gridSpan w:val="3"/>
            <w:tcBorders>
              <w:top w:val="single" w:sz="12" w:space="0" w:color="auto"/>
              <w:right w:val="single" w:sz="12" w:space="0" w:color="auto"/>
            </w:tcBorders>
            <w:vAlign w:val="center"/>
          </w:tcPr>
          <w:p w:rsidR="0023049D" w:rsidRDefault="0023049D" w:rsidP="0023049D">
            <w:pPr>
              <w:overflowPunct w:val="0"/>
              <w:jc w:val="center"/>
              <w:textAlignment w:val="baseline"/>
            </w:pPr>
            <w:r>
              <w:rPr>
                <w:rFonts w:hint="eastAsia"/>
              </w:rPr>
              <w:t>評　価　規　準</w:t>
            </w:r>
          </w:p>
        </w:tc>
      </w:tr>
      <w:tr w:rsidR="0023049D" w:rsidTr="0023049D">
        <w:trPr>
          <w:trHeight w:val="417"/>
        </w:trPr>
        <w:tc>
          <w:tcPr>
            <w:tcW w:w="437" w:type="dxa"/>
            <w:vMerge/>
            <w:tcBorders>
              <w:left w:val="single" w:sz="12" w:space="0" w:color="auto"/>
            </w:tcBorders>
          </w:tcPr>
          <w:p w:rsidR="0023049D" w:rsidRDefault="0023049D" w:rsidP="0023049D">
            <w:pPr>
              <w:overflowPunct w:val="0"/>
              <w:textAlignment w:val="baseline"/>
            </w:pPr>
          </w:p>
        </w:tc>
        <w:tc>
          <w:tcPr>
            <w:tcW w:w="3240" w:type="dxa"/>
            <w:vMerge/>
          </w:tcPr>
          <w:p w:rsidR="0023049D" w:rsidRDefault="0023049D" w:rsidP="0023049D">
            <w:pPr>
              <w:overflowPunct w:val="0"/>
              <w:textAlignment w:val="baseline"/>
            </w:pPr>
          </w:p>
        </w:tc>
        <w:tc>
          <w:tcPr>
            <w:tcW w:w="508" w:type="dxa"/>
            <w:vMerge/>
          </w:tcPr>
          <w:p w:rsidR="0023049D" w:rsidRDefault="0023049D" w:rsidP="0023049D">
            <w:pPr>
              <w:overflowPunct w:val="0"/>
              <w:textAlignment w:val="baseline"/>
            </w:pPr>
          </w:p>
        </w:tc>
        <w:tc>
          <w:tcPr>
            <w:tcW w:w="3809" w:type="dxa"/>
            <w:vAlign w:val="center"/>
          </w:tcPr>
          <w:p w:rsidR="0023049D" w:rsidRDefault="0023049D" w:rsidP="0023049D">
            <w:pPr>
              <w:overflowPunct w:val="0"/>
              <w:jc w:val="center"/>
              <w:textAlignment w:val="baseline"/>
            </w:pPr>
            <w:r>
              <w:rPr>
                <w:rFonts w:hint="eastAsia"/>
              </w:rPr>
              <w:t>知識・技能</w:t>
            </w:r>
          </w:p>
        </w:tc>
        <w:tc>
          <w:tcPr>
            <w:tcW w:w="3810" w:type="dxa"/>
            <w:vAlign w:val="center"/>
          </w:tcPr>
          <w:p w:rsidR="0023049D" w:rsidRDefault="0023049D" w:rsidP="0023049D">
            <w:pPr>
              <w:overflowPunct w:val="0"/>
              <w:jc w:val="center"/>
              <w:textAlignment w:val="baseline"/>
            </w:pPr>
            <w:r>
              <w:rPr>
                <w:rFonts w:hint="eastAsia"/>
              </w:rPr>
              <w:t>思考・判断・表現</w:t>
            </w:r>
          </w:p>
        </w:tc>
        <w:tc>
          <w:tcPr>
            <w:tcW w:w="3810" w:type="dxa"/>
            <w:tcBorders>
              <w:right w:val="single" w:sz="12" w:space="0" w:color="auto"/>
            </w:tcBorders>
            <w:vAlign w:val="center"/>
          </w:tcPr>
          <w:p w:rsidR="0023049D" w:rsidRDefault="0023049D" w:rsidP="0023049D">
            <w:pPr>
              <w:overflowPunct w:val="0"/>
              <w:jc w:val="center"/>
              <w:textAlignment w:val="baseline"/>
            </w:pPr>
            <w:r>
              <w:rPr>
                <w:rFonts w:hint="eastAsia"/>
              </w:rPr>
              <w:t>主体的に学習に取り組む態度</w:t>
            </w:r>
          </w:p>
        </w:tc>
      </w:tr>
      <w:tr w:rsidR="00C27F2D" w:rsidTr="00525AC1">
        <w:trPr>
          <w:trHeight w:val="1556"/>
        </w:trPr>
        <w:tc>
          <w:tcPr>
            <w:tcW w:w="437" w:type="dxa"/>
            <w:tcBorders>
              <w:top w:val="single" w:sz="4" w:space="0" w:color="000000"/>
              <w:left w:val="single" w:sz="12" w:space="0" w:color="000000"/>
              <w:bottom w:val="nil"/>
              <w:right w:val="single" w:sz="4" w:space="0" w:color="000000"/>
            </w:tcBorders>
            <w:vAlign w:val="center"/>
          </w:tcPr>
          <w:p w:rsidR="00C27F2D" w:rsidRPr="000A7BB5"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sz w:val="20"/>
                <w:szCs w:val="20"/>
              </w:rPr>
              <w:t>４</w:t>
            </w:r>
          </w:p>
          <w:p w:rsidR="00C27F2D" w:rsidRPr="000A7BB5"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sidRPr="000A7BB5">
              <w:rPr>
                <w:rFonts w:ascii="ＭＳ Ｐ明朝" w:eastAsia="ＭＳ Ｐ明朝" w:hAnsi="ＭＳ Ｐ明朝" w:cs="ＭＳ 明朝" w:hint="eastAsia"/>
                <w:color w:val="000000"/>
                <w:kern w:val="0"/>
                <w:sz w:val="20"/>
                <w:szCs w:val="20"/>
              </w:rPr>
              <w:t>～</w:t>
            </w:r>
          </w:p>
          <w:p w:rsidR="00C27F2D" w:rsidRPr="000A7BB5"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６</w:t>
            </w:r>
          </w:p>
        </w:tc>
        <w:tc>
          <w:tcPr>
            <w:tcW w:w="3240" w:type="dxa"/>
            <w:tcBorders>
              <w:top w:val="double" w:sz="4" w:space="0" w:color="auto"/>
            </w:tcBorders>
            <w:vAlign w:val="center"/>
          </w:tcPr>
          <w:p w:rsidR="00C27F2D" w:rsidRPr="00E6501B" w:rsidRDefault="00E6501B" w:rsidP="00E6501B">
            <w:pPr>
              <w:pStyle w:val="a8"/>
              <w:numPr>
                <w:ilvl w:val="0"/>
                <w:numId w:val="7"/>
              </w:numPr>
              <w:rPr>
                <w:rFonts w:ascii="ＭＳ Ｐ明朝" w:eastAsia="ＭＳ Ｐ明朝" w:hAnsi="ＭＳ Ｐ明朝"/>
                <w:sz w:val="16"/>
                <w:szCs w:val="16"/>
              </w:rPr>
            </w:pPr>
            <w:r>
              <w:rPr>
                <w:rFonts w:ascii="ＭＳ Ｐ明朝" w:eastAsia="ＭＳ Ｐ明朝" w:hAnsi="ＭＳ Ｐ明朝" w:hint="eastAsia"/>
                <w:sz w:val="16"/>
                <w:szCs w:val="16"/>
              </w:rPr>
              <w:t>いろいろな生物とその共通点</w:t>
            </w:r>
          </w:p>
          <w:p w:rsidR="00C27F2D" w:rsidRPr="00E6501B" w:rsidRDefault="00E6501B" w:rsidP="00E6501B">
            <w:pPr>
              <w:pStyle w:val="a8"/>
              <w:rPr>
                <w:rFonts w:ascii="ＭＳ Ｐ明朝" w:eastAsia="ＭＳ Ｐ明朝" w:hAnsi="ＭＳ Ｐ明朝"/>
                <w:sz w:val="16"/>
                <w:szCs w:val="16"/>
              </w:rPr>
            </w:pPr>
            <w:r>
              <w:rPr>
                <w:rFonts w:ascii="ＭＳ Ｐ明朝" w:eastAsia="ＭＳ Ｐ明朝" w:hAnsi="ＭＳ Ｐ明朝" w:hint="eastAsia"/>
                <w:sz w:val="16"/>
                <w:szCs w:val="16"/>
              </w:rPr>
              <w:t>①生物の観察と分類のしかた</w:t>
            </w:r>
          </w:p>
          <w:p w:rsidR="00C27F2D" w:rsidRPr="00E6501B" w:rsidRDefault="00E6501B" w:rsidP="00E6501B">
            <w:pPr>
              <w:pStyle w:val="a8"/>
              <w:rPr>
                <w:rFonts w:ascii="ＭＳ Ｐ明朝" w:eastAsia="ＭＳ Ｐ明朝" w:hAnsi="ＭＳ Ｐ明朝"/>
                <w:sz w:val="16"/>
                <w:szCs w:val="16"/>
              </w:rPr>
            </w:pPr>
            <w:r>
              <w:rPr>
                <w:rFonts w:ascii="ＭＳ Ｐ明朝" w:eastAsia="ＭＳ Ｐ明朝" w:hAnsi="ＭＳ Ｐ明朝" w:hint="eastAsia"/>
                <w:sz w:val="16"/>
                <w:szCs w:val="16"/>
              </w:rPr>
              <w:t>⓶植物の分類</w:t>
            </w:r>
          </w:p>
          <w:p w:rsidR="00C27F2D" w:rsidRPr="00E6501B" w:rsidRDefault="00E6501B" w:rsidP="00E6501B">
            <w:pPr>
              <w:pStyle w:val="a8"/>
              <w:rPr>
                <w:rFonts w:ascii="ＭＳ Ｐ明朝" w:eastAsia="ＭＳ Ｐ明朝" w:hAnsi="ＭＳ Ｐ明朝"/>
                <w:sz w:val="16"/>
                <w:szCs w:val="16"/>
              </w:rPr>
            </w:pPr>
            <w:r>
              <w:rPr>
                <w:rFonts w:ascii="ＭＳ Ｐ明朝" w:eastAsia="ＭＳ Ｐ明朝" w:hAnsi="ＭＳ Ｐ明朝" w:hint="eastAsia"/>
                <w:sz w:val="16"/>
                <w:szCs w:val="16"/>
              </w:rPr>
              <w:t>③動物の分類</w:t>
            </w:r>
          </w:p>
        </w:tc>
        <w:tc>
          <w:tcPr>
            <w:tcW w:w="508" w:type="dxa"/>
            <w:tcBorders>
              <w:top w:val="double" w:sz="4" w:space="0" w:color="auto"/>
            </w:tcBorders>
            <w:vAlign w:val="center"/>
          </w:tcPr>
          <w:p w:rsidR="00C27F2D" w:rsidRPr="00E6501B" w:rsidRDefault="00C27F2D" w:rsidP="00C27F2D">
            <w:pPr>
              <w:pStyle w:val="a8"/>
              <w:jc w:val="center"/>
              <w:rPr>
                <w:rFonts w:ascii="ＭＳ Ｐ明朝" w:eastAsia="ＭＳ Ｐ明朝" w:hAnsi="ＭＳ Ｐ明朝"/>
                <w:sz w:val="16"/>
                <w:szCs w:val="16"/>
              </w:rPr>
            </w:pPr>
            <w:r w:rsidRPr="00E6501B">
              <w:rPr>
                <w:rFonts w:ascii="ＭＳ Ｐ明朝" w:eastAsia="ＭＳ Ｐ明朝" w:hAnsi="ＭＳ Ｐ明朝" w:hint="eastAsia"/>
                <w:sz w:val="16"/>
                <w:szCs w:val="16"/>
              </w:rPr>
              <w:t>26</w:t>
            </w:r>
          </w:p>
        </w:tc>
        <w:tc>
          <w:tcPr>
            <w:tcW w:w="3809" w:type="dxa"/>
            <w:tcBorders>
              <w:top w:val="double" w:sz="4" w:space="0" w:color="auto"/>
              <w:right w:val="single" w:sz="12" w:space="0" w:color="000000" w:themeColor="text1"/>
            </w:tcBorders>
            <w:vAlign w:val="center"/>
          </w:tcPr>
          <w:p w:rsidR="00C27F2D" w:rsidRPr="00E6501B" w:rsidRDefault="009C59D7"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植物や動物をなかまごとに分類し、それぞれの特徴を理解することができる。ルーペ、顕微鏡、双眼実体顕微鏡を正しく使用し、スケッチなどの記録やレポートをまとめることができる。</w:t>
            </w:r>
          </w:p>
        </w:tc>
        <w:tc>
          <w:tcPr>
            <w:tcW w:w="3810" w:type="dxa"/>
            <w:tcBorders>
              <w:top w:val="single" w:sz="4" w:space="0" w:color="000000"/>
              <w:left w:val="single" w:sz="4" w:space="0" w:color="000000"/>
              <w:bottom w:val="nil"/>
              <w:right w:val="single" w:sz="4" w:space="0" w:color="000000"/>
            </w:tcBorders>
          </w:tcPr>
          <w:p w:rsidR="00C27F2D" w:rsidRPr="00E6501B" w:rsidRDefault="009C59D7" w:rsidP="00E6501B">
            <w:pPr>
              <w:rPr>
                <w:rFonts w:ascii="ＭＳ Ｐ明朝" w:eastAsia="ＭＳ Ｐ明朝" w:hAnsi="ＭＳ Ｐ明朝" w:cs="ＭＳ 明朝"/>
                <w:color w:val="000000"/>
                <w:kern w:val="0"/>
                <w:sz w:val="16"/>
                <w:szCs w:val="16"/>
              </w:rPr>
            </w:pPr>
            <w:r w:rsidRPr="00E6501B">
              <w:rPr>
                <w:rFonts w:ascii="ＭＳ Ｐ明朝" w:eastAsia="ＭＳ Ｐ明朝" w:hAnsi="ＭＳ Ｐ明朝" w:hint="eastAsia"/>
                <w:sz w:val="16"/>
                <w:szCs w:val="16"/>
              </w:rPr>
              <w:t>植物や動物のつくりやはたらきなどの共通点・相違点をまとめ分類することができる。</w:t>
            </w:r>
            <w:r w:rsidR="007D1C4B">
              <w:rPr>
                <w:rFonts w:ascii="ＭＳ Ｐ明朝" w:eastAsia="ＭＳ Ｐ明朝" w:hAnsi="ＭＳ Ｐ明朝" w:hint="eastAsia"/>
                <w:sz w:val="16"/>
                <w:szCs w:val="16"/>
              </w:rPr>
              <w:t>身近な生物についての観察、実験などを通して、色々な生物の共通点や相違点を見いだすとともに、生物を分類するための観点や基準を見いだして表現することができる。</w:t>
            </w:r>
          </w:p>
        </w:tc>
        <w:tc>
          <w:tcPr>
            <w:tcW w:w="3810" w:type="dxa"/>
            <w:tcBorders>
              <w:top w:val="double" w:sz="4" w:space="0" w:color="auto"/>
            </w:tcBorders>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校庭周辺の生物に関心を持ち、意欲的に調査・観察することができる。</w:t>
            </w:r>
            <w:r w:rsidR="00D97F0E" w:rsidRPr="00D97F0E">
              <w:rPr>
                <w:rFonts w:ascii="ＭＳ Ｐ明朝" w:eastAsia="ＭＳ Ｐ明朝" w:hAnsi="ＭＳ Ｐ明朝" w:hint="eastAsia"/>
                <w:sz w:val="16"/>
                <w:szCs w:val="16"/>
              </w:rPr>
              <w:t>生物の観察と分類の仕方に関する事物・現象に進んで関わり，見通しをもったり振り返ったりするなど，科学的に探究しようとしている</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花のつくりとはたらきや植物・動物の分類に関心を持ち、意欲的に観察することができる。</w:t>
            </w:r>
          </w:p>
        </w:tc>
      </w:tr>
      <w:tr w:rsidR="00C27F2D" w:rsidTr="00525AC1">
        <w:trPr>
          <w:trHeight w:val="1536"/>
        </w:trPr>
        <w:tc>
          <w:tcPr>
            <w:tcW w:w="437" w:type="dxa"/>
            <w:tcBorders>
              <w:top w:val="single" w:sz="4" w:space="0" w:color="000000"/>
              <w:left w:val="single" w:sz="12" w:space="0" w:color="000000"/>
              <w:bottom w:val="nil"/>
              <w:right w:val="single" w:sz="4" w:space="0" w:color="000000"/>
            </w:tcBorders>
            <w:vAlign w:val="center"/>
          </w:tcPr>
          <w:p w:rsidR="00C27F2D" w:rsidRPr="00ED6700"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kern w:val="0"/>
                <w:sz w:val="20"/>
                <w:szCs w:val="20"/>
              </w:rPr>
            </w:pPr>
            <w:r>
              <w:rPr>
                <w:rFonts w:ascii="ＭＳ Ｐ明朝" w:eastAsia="ＭＳ Ｐ明朝" w:hAnsi="ＭＳ Ｐ明朝" w:hint="eastAsia"/>
                <w:color w:val="000000"/>
                <w:kern w:val="0"/>
                <w:sz w:val="20"/>
                <w:szCs w:val="20"/>
              </w:rPr>
              <w:t>７～９</w:t>
            </w:r>
          </w:p>
        </w:tc>
        <w:tc>
          <w:tcPr>
            <w:tcW w:w="3240" w:type="dxa"/>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２．身のまわりの物質</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①身のまわりの物質とその性質</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②</w:t>
            </w:r>
            <w:r w:rsidR="00E6501B">
              <w:rPr>
                <w:rFonts w:ascii="ＭＳ Ｐ明朝" w:eastAsia="ＭＳ Ｐ明朝" w:hAnsi="ＭＳ Ｐ明朝" w:hint="eastAsia"/>
                <w:sz w:val="16"/>
                <w:szCs w:val="16"/>
              </w:rPr>
              <w:t>気体の性質</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③水溶液の性質</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④物質の姿と状態変化</w:t>
            </w:r>
          </w:p>
        </w:tc>
        <w:tc>
          <w:tcPr>
            <w:tcW w:w="508" w:type="dxa"/>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2</w:t>
            </w:r>
            <w:r w:rsidR="00E6501B">
              <w:rPr>
                <w:rFonts w:ascii="ＭＳ Ｐ明朝" w:eastAsia="ＭＳ Ｐ明朝" w:hAnsi="ＭＳ Ｐ明朝" w:hint="eastAsia"/>
                <w:sz w:val="16"/>
                <w:szCs w:val="16"/>
              </w:rPr>
              <w:t>７</w:t>
            </w:r>
          </w:p>
        </w:tc>
        <w:tc>
          <w:tcPr>
            <w:tcW w:w="3809" w:type="dxa"/>
            <w:tcBorders>
              <w:right w:val="single" w:sz="12" w:space="0" w:color="000000" w:themeColor="text1"/>
            </w:tcBorders>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物質の密度や状態変化、融点、沸点、気体の性質など、純粋な物質固有の性質を理解することができる。水溶液では、溶質が均一に溶けていることを理解することができる。</w:t>
            </w:r>
            <w:r w:rsidR="009C59D7" w:rsidRPr="00E6501B">
              <w:rPr>
                <w:rFonts w:ascii="ＭＳ Ｐ明朝" w:eastAsia="ＭＳ Ｐ明朝" w:hAnsi="ＭＳ Ｐ明朝" w:hint="eastAsia"/>
                <w:sz w:val="16"/>
                <w:szCs w:val="16"/>
              </w:rPr>
              <w:t>密度や電流の通りやすさ、状態変化、気体の発生などについて、器具や薬品を正しく使用して、安全に実験することができる。</w:t>
            </w:r>
          </w:p>
        </w:tc>
        <w:tc>
          <w:tcPr>
            <w:tcW w:w="3810" w:type="dxa"/>
            <w:tcBorders>
              <w:top w:val="single" w:sz="4" w:space="0" w:color="000000"/>
              <w:left w:val="single" w:sz="4" w:space="0" w:color="000000"/>
              <w:bottom w:val="nil"/>
              <w:right w:val="single" w:sz="4" w:space="0" w:color="000000"/>
            </w:tcBorders>
          </w:tcPr>
          <w:p w:rsidR="00C27F2D" w:rsidRPr="00E6501B" w:rsidRDefault="009C59D7" w:rsidP="00C27F2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16"/>
                <w:szCs w:val="16"/>
              </w:rPr>
            </w:pPr>
            <w:r w:rsidRPr="00E6501B">
              <w:rPr>
                <w:rFonts w:ascii="ＭＳ Ｐ明朝" w:eastAsia="ＭＳ Ｐ明朝" w:hAnsi="ＭＳ Ｐ明朝" w:hint="eastAsia"/>
                <w:sz w:val="16"/>
                <w:szCs w:val="16"/>
              </w:rPr>
              <w:t>物質の溶け方、気体や水溶液の性質などについて、実験結果をまとめることができる。また、実験をして分かったことを記録し、考察することができる。</w:t>
            </w:r>
            <w:r w:rsidR="00D97F0E" w:rsidRPr="00D97F0E">
              <w:rPr>
                <w:rFonts w:ascii="ＭＳ Ｐ明朝" w:eastAsia="ＭＳ Ｐ明朝" w:hAnsi="ＭＳ Ｐ明朝" w:hint="eastAsia"/>
                <w:sz w:val="16"/>
                <w:szCs w:val="16"/>
              </w:rPr>
              <w:t>身のまわりの物質について，問題を見いだし見通しをもって観察，実験などを行い，物質の性質や状態変化における規則性を見い</w:t>
            </w:r>
            <w:bookmarkStart w:id="0" w:name="_GoBack"/>
            <w:bookmarkEnd w:id="0"/>
            <w:r w:rsidR="00D97F0E" w:rsidRPr="00D97F0E">
              <w:rPr>
                <w:rFonts w:ascii="ＭＳ Ｐ明朝" w:eastAsia="ＭＳ Ｐ明朝" w:hAnsi="ＭＳ Ｐ明朝" w:hint="eastAsia"/>
                <w:sz w:val="16"/>
                <w:szCs w:val="16"/>
              </w:rPr>
              <w:t>だして表現している。</w:t>
            </w:r>
          </w:p>
        </w:tc>
        <w:tc>
          <w:tcPr>
            <w:tcW w:w="3810" w:type="dxa"/>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物質の密度や状態変化、気体の発生について関心を持ち、日常生活と関連付けて、意欲的に取り組むことができる。</w:t>
            </w:r>
            <w:r w:rsidR="00D97F0E" w:rsidRPr="00D97F0E">
              <w:rPr>
                <w:rFonts w:ascii="ＭＳ Ｐ明朝" w:eastAsia="ＭＳ Ｐ明朝" w:hAnsi="ＭＳ Ｐ明朝" w:hint="eastAsia"/>
                <w:sz w:val="16"/>
                <w:szCs w:val="16"/>
              </w:rPr>
              <w:t>身のまわりの物質に関する事物・現象に進んで関わり，見通しをもったり振り返ったりするなど，科学的に探究しようとしている。</w:t>
            </w:r>
          </w:p>
        </w:tc>
      </w:tr>
      <w:tr w:rsidR="00C27F2D" w:rsidTr="00525AC1">
        <w:trPr>
          <w:trHeight w:val="1490"/>
        </w:trPr>
        <w:tc>
          <w:tcPr>
            <w:tcW w:w="437" w:type="dxa"/>
            <w:tcBorders>
              <w:top w:val="single" w:sz="4" w:space="0" w:color="000000"/>
              <w:left w:val="single" w:sz="12" w:space="0" w:color="000000"/>
              <w:bottom w:val="nil"/>
              <w:right w:val="single" w:sz="4" w:space="0" w:color="000000"/>
            </w:tcBorders>
            <w:vAlign w:val="center"/>
          </w:tcPr>
          <w:p w:rsidR="00C27F2D" w:rsidRPr="00540CAD"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10</w:t>
            </w:r>
          </w:p>
          <w:p w:rsidR="00C27F2D" w:rsidRPr="000A7BB5"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sz w:val="20"/>
                <w:szCs w:val="20"/>
              </w:rPr>
              <w:t>～</w:t>
            </w:r>
          </w:p>
          <w:p w:rsidR="00C27F2D" w:rsidRPr="000A7BB5"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cs="ＭＳ 明朝" w:hint="eastAsia"/>
                <w:color w:val="000000"/>
                <w:kern w:val="0"/>
                <w:sz w:val="20"/>
                <w:szCs w:val="20"/>
              </w:rPr>
              <w:t>12</w:t>
            </w:r>
          </w:p>
        </w:tc>
        <w:tc>
          <w:tcPr>
            <w:tcW w:w="3240" w:type="dxa"/>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３．身のまわりの現象</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①光の世界</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②音の世界</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③力の世界</w:t>
            </w:r>
          </w:p>
        </w:tc>
        <w:tc>
          <w:tcPr>
            <w:tcW w:w="508" w:type="dxa"/>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2</w:t>
            </w:r>
            <w:r w:rsidR="00E6501B">
              <w:rPr>
                <w:rFonts w:ascii="ＭＳ Ｐ明朝" w:eastAsia="ＭＳ Ｐ明朝" w:hAnsi="ＭＳ Ｐ明朝" w:hint="eastAsia"/>
                <w:sz w:val="16"/>
                <w:szCs w:val="16"/>
              </w:rPr>
              <w:t>6</w:t>
            </w:r>
          </w:p>
        </w:tc>
        <w:tc>
          <w:tcPr>
            <w:tcW w:w="3809" w:type="dxa"/>
            <w:tcBorders>
              <w:right w:val="single" w:sz="12" w:space="0" w:color="000000" w:themeColor="text1"/>
            </w:tcBorders>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光の反射・屈折・凸レンズのはたらき、音の高低・大小などを理解することができる。2力のつり合いを理解し、計算をすることができる。</w:t>
            </w:r>
            <w:r w:rsidR="009C59D7" w:rsidRPr="00E6501B">
              <w:rPr>
                <w:rFonts w:ascii="ＭＳ Ｐ明朝" w:eastAsia="ＭＳ Ｐ明朝" w:hAnsi="ＭＳ Ｐ明朝" w:hint="eastAsia"/>
                <w:sz w:val="16"/>
                <w:szCs w:val="16"/>
              </w:rPr>
              <w:t>実験の目的をしっかりと理解し、器具を正しく使用して観察・実験することができる。</w:t>
            </w:r>
          </w:p>
        </w:tc>
        <w:tc>
          <w:tcPr>
            <w:tcW w:w="3810" w:type="dxa"/>
            <w:tcBorders>
              <w:top w:val="single" w:sz="4" w:space="0" w:color="000000"/>
              <w:left w:val="single" w:sz="4" w:space="0" w:color="000000"/>
              <w:bottom w:val="nil"/>
              <w:right w:val="single" w:sz="4" w:space="0" w:color="000000"/>
            </w:tcBorders>
          </w:tcPr>
          <w:p w:rsidR="00C27F2D" w:rsidRPr="00E6501B" w:rsidRDefault="00D97F0E" w:rsidP="00C27F2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16"/>
                <w:szCs w:val="16"/>
              </w:rPr>
            </w:pPr>
            <w:r w:rsidRPr="00D97F0E">
              <w:rPr>
                <w:rFonts w:ascii="ＭＳ Ｐ明朝" w:eastAsia="ＭＳ Ｐ明朝" w:hAnsi="ＭＳ Ｐ明朝" w:hint="eastAsia"/>
                <w:sz w:val="16"/>
                <w:szCs w:val="16"/>
              </w:rPr>
              <w:t>身近な物理現象について，問題を見いだし見通しをもって観察，実験などを行い，光の反射や屈折，凸レンズの働き，音の性質，力の働きの規則性や関係性を見いだして表現している。また、データを整理して、考察することができる。</w:t>
            </w:r>
          </w:p>
        </w:tc>
        <w:tc>
          <w:tcPr>
            <w:tcW w:w="3810" w:type="dxa"/>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光や音、力のはたらきを日常生活と関連付けることができる。身のまわりの現象に関心を持ち、意欲的に取り組むことができる。</w:t>
            </w:r>
            <w:r w:rsidR="00D97F0E" w:rsidRPr="00D97F0E">
              <w:rPr>
                <w:rFonts w:ascii="ＭＳ Ｐ明朝" w:eastAsia="ＭＳ Ｐ明朝" w:hAnsi="ＭＳ Ｐ明朝" w:hint="eastAsia"/>
                <w:sz w:val="16"/>
                <w:szCs w:val="16"/>
              </w:rPr>
              <w:t>身近な物理現象に関する事物・現象に進んで関わり，見通しをもったり振り返ったりするなど，科学的に探究しようとしている。</w:t>
            </w:r>
          </w:p>
        </w:tc>
      </w:tr>
      <w:tr w:rsidR="00C27F2D" w:rsidTr="00525AC1">
        <w:trPr>
          <w:trHeight w:val="1357"/>
        </w:trPr>
        <w:tc>
          <w:tcPr>
            <w:tcW w:w="437" w:type="dxa"/>
            <w:tcBorders>
              <w:top w:val="single" w:sz="4" w:space="0" w:color="000000"/>
              <w:left w:val="single" w:sz="12" w:space="0" w:color="000000"/>
              <w:bottom w:val="single" w:sz="4" w:space="0" w:color="auto"/>
              <w:right w:val="single" w:sz="4" w:space="0" w:color="000000"/>
            </w:tcBorders>
            <w:vAlign w:val="center"/>
          </w:tcPr>
          <w:p w:rsidR="00C27F2D"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１</w:t>
            </w:r>
            <w:r w:rsidRPr="000A7BB5">
              <w:rPr>
                <w:rFonts w:ascii="ＭＳ Ｐ明朝" w:eastAsia="ＭＳ Ｐ明朝" w:hAnsi="ＭＳ Ｐ明朝" w:cs="ＭＳ 明朝" w:hint="eastAsia"/>
                <w:color w:val="000000"/>
                <w:kern w:val="0"/>
                <w:sz w:val="20"/>
                <w:szCs w:val="20"/>
              </w:rPr>
              <w:t>～</w:t>
            </w:r>
          </w:p>
          <w:p w:rsidR="00C27F2D" w:rsidRPr="000A7BB5" w:rsidRDefault="00C27F2D" w:rsidP="00C27F2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３</w:t>
            </w:r>
          </w:p>
        </w:tc>
        <w:tc>
          <w:tcPr>
            <w:tcW w:w="3240" w:type="dxa"/>
            <w:tcBorders>
              <w:bottom w:val="double" w:sz="4" w:space="0" w:color="auto"/>
            </w:tcBorders>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４．大地の変化</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①火をふく大地</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②動き続ける大地</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③地層から読みとる大地の変化</w:t>
            </w:r>
          </w:p>
        </w:tc>
        <w:tc>
          <w:tcPr>
            <w:tcW w:w="508" w:type="dxa"/>
            <w:tcBorders>
              <w:bottom w:val="double" w:sz="4" w:space="0" w:color="auto"/>
            </w:tcBorders>
            <w:vAlign w:val="center"/>
          </w:tcPr>
          <w:p w:rsidR="00C27F2D" w:rsidRPr="00E6501B" w:rsidRDefault="00C27F2D" w:rsidP="00C27F2D">
            <w:pPr>
              <w:pStyle w:val="a8"/>
              <w:jc w:val="center"/>
              <w:rPr>
                <w:rFonts w:ascii="ＭＳ Ｐ明朝" w:eastAsia="ＭＳ Ｐ明朝" w:hAnsi="ＭＳ Ｐ明朝"/>
                <w:sz w:val="16"/>
                <w:szCs w:val="16"/>
              </w:rPr>
            </w:pPr>
          </w:p>
          <w:p w:rsidR="00C27F2D" w:rsidRPr="00E6501B" w:rsidRDefault="00C27F2D" w:rsidP="00C27F2D">
            <w:pPr>
              <w:pStyle w:val="a8"/>
              <w:jc w:val="center"/>
              <w:rPr>
                <w:rFonts w:ascii="ＭＳ Ｐ明朝" w:eastAsia="ＭＳ Ｐ明朝" w:hAnsi="ＭＳ Ｐ明朝"/>
                <w:sz w:val="16"/>
                <w:szCs w:val="16"/>
              </w:rPr>
            </w:pPr>
            <w:r w:rsidRPr="00E6501B">
              <w:rPr>
                <w:rFonts w:ascii="ＭＳ Ｐ明朝" w:eastAsia="ＭＳ Ｐ明朝" w:hAnsi="ＭＳ Ｐ明朝" w:hint="eastAsia"/>
                <w:sz w:val="16"/>
                <w:szCs w:val="16"/>
              </w:rPr>
              <w:t>2</w:t>
            </w:r>
            <w:r w:rsidR="00E6501B">
              <w:rPr>
                <w:rFonts w:ascii="ＭＳ Ｐ明朝" w:eastAsia="ＭＳ Ｐ明朝" w:hAnsi="ＭＳ Ｐ明朝" w:hint="eastAsia"/>
                <w:sz w:val="16"/>
                <w:szCs w:val="16"/>
              </w:rPr>
              <w:t>6</w:t>
            </w:r>
          </w:p>
        </w:tc>
        <w:tc>
          <w:tcPr>
            <w:tcW w:w="3809" w:type="dxa"/>
            <w:tcBorders>
              <w:bottom w:val="double" w:sz="4" w:space="0" w:color="auto"/>
              <w:right w:val="single" w:sz="12" w:space="0" w:color="000000" w:themeColor="text1"/>
            </w:tcBorders>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提示された手掛かり</w:t>
            </w:r>
            <w:r w:rsidR="009C59D7" w:rsidRPr="00E6501B">
              <w:rPr>
                <w:rFonts w:ascii="ＭＳ Ｐ明朝" w:eastAsia="ＭＳ Ｐ明朝" w:hAnsi="ＭＳ Ｐ明朝" w:hint="eastAsia"/>
                <w:sz w:val="16"/>
                <w:szCs w:val="16"/>
              </w:rPr>
              <w:t>をもとに、地層のできた年代や環境を考え、説明することができ</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地球規模でプレートの動きを考えることができる。</w:t>
            </w:r>
            <w:r w:rsidR="009C59D7" w:rsidRPr="00E6501B">
              <w:rPr>
                <w:rFonts w:ascii="ＭＳ Ｐ明朝" w:eastAsia="ＭＳ Ｐ明朝" w:hAnsi="ＭＳ Ｐ明朝" w:hint="eastAsia"/>
                <w:sz w:val="16"/>
                <w:szCs w:val="16"/>
              </w:rPr>
              <w:t>地層の重なり方や岩石の特徴を捉えることができる。また、スケッチなどの記録やレポートをまとめ、岩石の種類を区別することができる。</w:t>
            </w:r>
          </w:p>
        </w:tc>
        <w:tc>
          <w:tcPr>
            <w:tcW w:w="3810" w:type="dxa"/>
            <w:tcBorders>
              <w:top w:val="single" w:sz="4" w:space="0" w:color="000000"/>
              <w:left w:val="single" w:sz="4" w:space="0" w:color="000000"/>
              <w:bottom w:val="single" w:sz="4" w:space="0" w:color="auto"/>
              <w:right w:val="single" w:sz="4" w:space="0" w:color="000000"/>
            </w:tcBorders>
          </w:tcPr>
          <w:p w:rsidR="00C27F2D" w:rsidRPr="00E6501B" w:rsidRDefault="009C59D7" w:rsidP="00C27F2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sidRPr="00E6501B">
              <w:rPr>
                <w:rFonts w:ascii="ＭＳ Ｐ明朝" w:eastAsia="ＭＳ Ｐ明朝" w:hAnsi="ＭＳ Ｐ明朝" w:hint="eastAsia"/>
                <w:sz w:val="16"/>
                <w:szCs w:val="16"/>
              </w:rPr>
              <w:t>火成岩・堆積岩をもとに、岩石のでき方とその特徴をレポートにまとめ、考察することができる。</w:t>
            </w:r>
            <w:r w:rsidR="00D97F0E" w:rsidRPr="00D97F0E">
              <w:rPr>
                <w:rFonts w:ascii="ＭＳ Ｐ明朝" w:eastAsia="ＭＳ Ｐ明朝" w:hAnsi="ＭＳ Ｐ明朝" w:hint="eastAsia"/>
                <w:sz w:val="16"/>
                <w:szCs w:val="16"/>
              </w:rPr>
              <w:t>大地の成り立ちと変化について，問題を見いだし見通しをもって観察，実験などを行い，地層の重なり方や広がり方の規則性，地下のマグマの性質と火山の形との関係性などを見いだして表現している。</w:t>
            </w:r>
          </w:p>
        </w:tc>
        <w:tc>
          <w:tcPr>
            <w:tcW w:w="3810" w:type="dxa"/>
            <w:tcBorders>
              <w:bottom w:val="double" w:sz="4" w:space="0" w:color="auto"/>
            </w:tcBorders>
            <w:vAlign w:val="center"/>
          </w:tcPr>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日本にある火山の形や岩石のでき方を考え、意欲的に取り組むことができる。</w:t>
            </w:r>
          </w:p>
          <w:p w:rsidR="00C27F2D" w:rsidRPr="00E6501B" w:rsidRDefault="00C27F2D" w:rsidP="00C27F2D">
            <w:pPr>
              <w:pStyle w:val="a8"/>
              <w:rPr>
                <w:rFonts w:ascii="ＭＳ Ｐ明朝" w:eastAsia="ＭＳ Ｐ明朝" w:hAnsi="ＭＳ Ｐ明朝"/>
                <w:sz w:val="16"/>
                <w:szCs w:val="16"/>
              </w:rPr>
            </w:pPr>
            <w:r w:rsidRPr="00E6501B">
              <w:rPr>
                <w:rFonts w:ascii="ＭＳ Ｐ明朝" w:eastAsia="ＭＳ Ｐ明朝" w:hAnsi="ＭＳ Ｐ明朝" w:hint="eastAsia"/>
                <w:sz w:val="16"/>
                <w:szCs w:val="16"/>
              </w:rPr>
              <w:t>地震の伝わり方やそのしくみを実際の体験から考えることができる。</w:t>
            </w:r>
            <w:r w:rsidR="00D97F0E" w:rsidRPr="00D97F0E">
              <w:rPr>
                <w:rFonts w:ascii="ＭＳ Ｐ明朝" w:eastAsia="ＭＳ Ｐ明朝" w:hAnsi="ＭＳ Ｐ明朝" w:hint="eastAsia"/>
                <w:sz w:val="16"/>
                <w:szCs w:val="16"/>
              </w:rPr>
              <w:t>大地の成り立ちと変化に関する事物・現象に進んで関わり，見通しをもったり振り返ったりするなど，科学的に探究しようとしている。</w:t>
            </w:r>
          </w:p>
        </w:tc>
      </w:tr>
      <w:tr w:rsidR="00C27F2D" w:rsidTr="0023049D">
        <w:trPr>
          <w:trHeight w:val="915"/>
        </w:trPr>
        <w:tc>
          <w:tcPr>
            <w:tcW w:w="4185" w:type="dxa"/>
            <w:gridSpan w:val="3"/>
            <w:tcBorders>
              <w:top w:val="double" w:sz="4" w:space="0" w:color="000000"/>
              <w:left w:val="single" w:sz="12" w:space="0" w:color="000000"/>
              <w:bottom w:val="single" w:sz="12" w:space="0" w:color="000000"/>
            </w:tcBorders>
            <w:vAlign w:val="center"/>
          </w:tcPr>
          <w:p w:rsidR="00C27F2D" w:rsidRDefault="00C27F2D" w:rsidP="00C27F2D">
            <w:pPr>
              <w:overflowPunct w:val="0"/>
              <w:jc w:val="center"/>
              <w:textAlignment w:val="baseline"/>
            </w:pPr>
            <w:r w:rsidRPr="000A7BB5">
              <w:rPr>
                <w:rFonts w:ascii="ＭＳ Ｐ明朝" w:eastAsia="ＭＳ Ｐ明朝" w:hAnsi="ＭＳ Ｐ明朝" w:cs="ＭＳ 明朝" w:hint="eastAsia"/>
                <w:color w:val="000000"/>
                <w:kern w:val="0"/>
                <w:sz w:val="20"/>
                <w:szCs w:val="20"/>
              </w:rPr>
              <w:t>主</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な</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評</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価</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方</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法</w:t>
            </w:r>
          </w:p>
        </w:tc>
        <w:tc>
          <w:tcPr>
            <w:tcW w:w="3809" w:type="dxa"/>
            <w:tcBorders>
              <w:top w:val="double" w:sz="4" w:space="0" w:color="auto"/>
              <w:bottom w:val="single" w:sz="12" w:space="0" w:color="auto"/>
            </w:tcBorders>
            <w:vAlign w:val="center"/>
          </w:tcPr>
          <w:p w:rsidR="00C27F2D" w:rsidRPr="00D97F0E" w:rsidRDefault="00C27F2D" w:rsidP="00C27F2D">
            <w:pPr>
              <w:overflowPunct w:val="0"/>
              <w:textAlignment w:val="baseline"/>
              <w:rPr>
                <w:rFonts w:ascii="ＭＳ Ｐ明朝" w:eastAsia="ＭＳ Ｐ明朝" w:hAnsi="ＭＳ Ｐ明朝"/>
              </w:rPr>
            </w:pPr>
            <w:r w:rsidRPr="00D97F0E">
              <w:rPr>
                <w:rFonts w:ascii="ＭＳ Ｐ明朝" w:eastAsia="ＭＳ Ｐ明朝" w:hAnsi="ＭＳ Ｐ明朝" w:hint="eastAsia"/>
              </w:rPr>
              <w:t>実験観察態度、ワークシート、スケッチやグラフ、小テスト、定期考査など</w:t>
            </w:r>
          </w:p>
        </w:tc>
        <w:tc>
          <w:tcPr>
            <w:tcW w:w="3810" w:type="dxa"/>
            <w:tcBorders>
              <w:top w:val="double" w:sz="4" w:space="0" w:color="auto"/>
              <w:bottom w:val="single" w:sz="12" w:space="0" w:color="auto"/>
            </w:tcBorders>
            <w:vAlign w:val="center"/>
          </w:tcPr>
          <w:p w:rsidR="00C27F2D" w:rsidRPr="00D97F0E" w:rsidRDefault="00C27F2D" w:rsidP="00C27F2D">
            <w:pPr>
              <w:overflowPunct w:val="0"/>
              <w:textAlignment w:val="baseline"/>
              <w:rPr>
                <w:rFonts w:ascii="ＭＳ Ｐ明朝" w:eastAsia="ＭＳ Ｐ明朝" w:hAnsi="ＭＳ Ｐ明朝"/>
              </w:rPr>
            </w:pPr>
            <w:r w:rsidRPr="00D97F0E">
              <w:rPr>
                <w:rFonts w:ascii="ＭＳ Ｐ明朝" w:eastAsia="ＭＳ Ｐ明朝" w:hAnsi="ＭＳ Ｐ明朝" w:hint="eastAsia"/>
              </w:rPr>
              <w:t>ワークシート、レポート、話し合い活動や発表、小テスト、定期考査など</w:t>
            </w:r>
          </w:p>
        </w:tc>
        <w:tc>
          <w:tcPr>
            <w:tcW w:w="3810" w:type="dxa"/>
            <w:tcBorders>
              <w:top w:val="double" w:sz="4" w:space="0" w:color="auto"/>
              <w:bottom w:val="single" w:sz="12" w:space="0" w:color="auto"/>
              <w:right w:val="single" w:sz="12" w:space="0" w:color="auto"/>
            </w:tcBorders>
            <w:vAlign w:val="center"/>
          </w:tcPr>
          <w:p w:rsidR="00C27F2D" w:rsidRPr="00D97F0E" w:rsidRDefault="00C27F2D" w:rsidP="00C27F2D">
            <w:pPr>
              <w:overflowPunct w:val="0"/>
              <w:textAlignment w:val="baseline"/>
              <w:rPr>
                <w:rFonts w:ascii="ＭＳ Ｐ明朝" w:eastAsia="ＭＳ Ｐ明朝" w:hAnsi="ＭＳ Ｐ明朝"/>
              </w:rPr>
            </w:pPr>
            <w:r w:rsidRPr="00D97F0E">
              <w:rPr>
                <w:rFonts w:ascii="ＭＳ Ｐ明朝" w:eastAsia="ＭＳ Ｐ明朝" w:hAnsi="ＭＳ Ｐ明朝" w:hint="eastAsia"/>
              </w:rPr>
              <w:t>授業態度、宿題・ワークシート等の記述、</w:t>
            </w:r>
            <w:r w:rsidR="00277913">
              <w:rPr>
                <w:rFonts w:ascii="ＭＳ Ｐ明朝" w:eastAsia="ＭＳ Ｐ明朝" w:hAnsi="ＭＳ Ｐ明朝" w:hint="eastAsia"/>
              </w:rPr>
              <w:t>自由レポート、</w:t>
            </w:r>
            <w:r w:rsidRPr="00D97F0E">
              <w:rPr>
                <w:rFonts w:ascii="ＭＳ Ｐ明朝" w:eastAsia="ＭＳ Ｐ明朝" w:hAnsi="ＭＳ Ｐ明朝" w:hint="eastAsia"/>
              </w:rPr>
              <w:t>発言など</w:t>
            </w:r>
          </w:p>
        </w:tc>
      </w:tr>
    </w:tbl>
    <w:p w:rsidR="00F2495E" w:rsidRPr="00E340FC" w:rsidRDefault="00F2495E" w:rsidP="0023049D">
      <w:pPr>
        <w:overflowPunct w:val="0"/>
        <w:textAlignment w:val="baseline"/>
      </w:pPr>
    </w:p>
    <w:sectPr w:rsidR="00F2495E" w:rsidRPr="00E340FC" w:rsidSect="0017531B">
      <w:headerReference w:type="default" r:id="rId8"/>
      <w:pgSz w:w="16838" w:h="11906" w:orient="landscape" w:code="9"/>
      <w:pgMar w:top="720" w:right="720" w:bottom="720" w:left="720" w:header="454"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91" w:rsidRDefault="001D0991">
      <w:r>
        <w:separator/>
      </w:r>
    </w:p>
  </w:endnote>
  <w:endnote w:type="continuationSeparator" w:id="0">
    <w:p w:rsidR="001D0991" w:rsidRDefault="001D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91" w:rsidRDefault="001D0991">
      <w:r>
        <w:separator/>
      </w:r>
    </w:p>
  </w:footnote>
  <w:footnote w:type="continuationSeparator" w:id="0">
    <w:p w:rsidR="001D0991" w:rsidRDefault="001D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0FC" w:rsidRPr="00DE0E04" w:rsidRDefault="00E340FC" w:rsidP="00DE0E04">
    <w:pPr>
      <w:overflowPunct w:val="0"/>
      <w:jc w:val="center"/>
      <w:textAlignment w:val="baseline"/>
      <w:rPr>
        <w:rFonts w:ascii="ＭＳ 明朝" w:hAnsi="Times New Roman"/>
        <w:color w:val="000000"/>
        <w:spacing w:val="6"/>
        <w:kern w:val="0"/>
        <w:szCs w:val="21"/>
      </w:rPr>
    </w:pPr>
    <w:r w:rsidRPr="00E16D4E">
      <w:rPr>
        <w:rFonts w:ascii="ＭＳ 明朝" w:eastAsia="ＤＦ平成ゴシック体W5" w:hAnsi="Times New Roman" w:cs="ＤＦ平成ゴシック体W5" w:hint="eastAsia"/>
        <w:color w:val="000000"/>
        <w:spacing w:val="2"/>
        <w:kern w:val="0"/>
        <w:sz w:val="30"/>
        <w:szCs w:val="30"/>
      </w:rPr>
      <w:t>年</w:t>
    </w:r>
    <w:r>
      <w:rPr>
        <w:rFonts w:ascii="ＭＳ 明朝" w:eastAsia="ＤＦ平成ゴシック体W5" w:hAnsi="Times New Roman"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間</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指</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導</w:t>
    </w:r>
    <w:r>
      <w:rPr>
        <w:rFonts w:ascii="ＤＦ平成ゴシック体W5" w:hAnsi="ＤＦ平成ゴシック体W5" w:cs="ＤＦ平成ゴシック体W5" w:hint="eastAsia"/>
        <w:color w:val="000000"/>
        <w:spacing w:val="2"/>
        <w:kern w:val="0"/>
        <w:sz w:val="30"/>
        <w:szCs w:val="30"/>
      </w:rPr>
      <w:t xml:space="preserve">　評　価　</w:t>
    </w:r>
    <w:r w:rsidRPr="00E16D4E">
      <w:rPr>
        <w:rFonts w:ascii="ＭＳ 明朝" w:eastAsia="ＤＦ平成ゴシック体W5" w:hAnsi="Times New Roman" w:cs="ＤＦ平成ゴシック体W5" w:hint="eastAsia"/>
        <w:color w:val="000000"/>
        <w:spacing w:val="2"/>
        <w:kern w:val="0"/>
        <w:sz w:val="30"/>
        <w:szCs w:val="30"/>
      </w:rPr>
      <w:t>計</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C92"/>
    <w:multiLevelType w:val="hybridMultilevel"/>
    <w:tmpl w:val="F612BBEC"/>
    <w:lvl w:ilvl="0" w:tplc="4ADC4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D13A5"/>
    <w:multiLevelType w:val="hybridMultilevel"/>
    <w:tmpl w:val="7B60B55C"/>
    <w:lvl w:ilvl="0" w:tplc="BD18C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C3781"/>
    <w:multiLevelType w:val="hybridMultilevel"/>
    <w:tmpl w:val="18A60C96"/>
    <w:lvl w:ilvl="0" w:tplc="59DE2E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81381"/>
    <w:multiLevelType w:val="hybridMultilevel"/>
    <w:tmpl w:val="42D41926"/>
    <w:lvl w:ilvl="0" w:tplc="EA9860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27B47"/>
    <w:multiLevelType w:val="hybridMultilevel"/>
    <w:tmpl w:val="8B721F0A"/>
    <w:lvl w:ilvl="0" w:tplc="22FEF56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5853A4"/>
    <w:multiLevelType w:val="hybridMultilevel"/>
    <w:tmpl w:val="4342BED2"/>
    <w:lvl w:ilvl="0" w:tplc="6A76CF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C13C4"/>
    <w:multiLevelType w:val="hybridMultilevel"/>
    <w:tmpl w:val="B348405C"/>
    <w:lvl w:ilvl="0" w:tplc="FB209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4E"/>
    <w:rsid w:val="00007E50"/>
    <w:rsid w:val="00023B9A"/>
    <w:rsid w:val="0002584D"/>
    <w:rsid w:val="00031E62"/>
    <w:rsid w:val="000406BE"/>
    <w:rsid w:val="00043092"/>
    <w:rsid w:val="000441FF"/>
    <w:rsid w:val="00045B2E"/>
    <w:rsid w:val="00045DDA"/>
    <w:rsid w:val="000600FD"/>
    <w:rsid w:val="000633DD"/>
    <w:rsid w:val="0007223A"/>
    <w:rsid w:val="00094B95"/>
    <w:rsid w:val="00095444"/>
    <w:rsid w:val="000A2AB1"/>
    <w:rsid w:val="000A501F"/>
    <w:rsid w:val="000A7BB5"/>
    <w:rsid w:val="000B0F69"/>
    <w:rsid w:val="000D4134"/>
    <w:rsid w:val="000E06FE"/>
    <w:rsid w:val="000E1C07"/>
    <w:rsid w:val="000E7036"/>
    <w:rsid w:val="00107610"/>
    <w:rsid w:val="00125BC4"/>
    <w:rsid w:val="00131272"/>
    <w:rsid w:val="00140CE5"/>
    <w:rsid w:val="00144238"/>
    <w:rsid w:val="00154F3A"/>
    <w:rsid w:val="0016757C"/>
    <w:rsid w:val="001731DF"/>
    <w:rsid w:val="0017531B"/>
    <w:rsid w:val="001874F3"/>
    <w:rsid w:val="00190F26"/>
    <w:rsid w:val="00195B13"/>
    <w:rsid w:val="00196F72"/>
    <w:rsid w:val="001A3548"/>
    <w:rsid w:val="001A4B55"/>
    <w:rsid w:val="001A5974"/>
    <w:rsid w:val="001B376F"/>
    <w:rsid w:val="001C26B9"/>
    <w:rsid w:val="001C69A3"/>
    <w:rsid w:val="001D0991"/>
    <w:rsid w:val="001D6DB9"/>
    <w:rsid w:val="00201E54"/>
    <w:rsid w:val="00210B52"/>
    <w:rsid w:val="0023049D"/>
    <w:rsid w:val="002324D1"/>
    <w:rsid w:val="00235EA9"/>
    <w:rsid w:val="00245F1B"/>
    <w:rsid w:val="00247663"/>
    <w:rsid w:val="002511BB"/>
    <w:rsid w:val="00261A6B"/>
    <w:rsid w:val="00273717"/>
    <w:rsid w:val="00276534"/>
    <w:rsid w:val="00277913"/>
    <w:rsid w:val="00285120"/>
    <w:rsid w:val="00291779"/>
    <w:rsid w:val="00297E09"/>
    <w:rsid w:val="002A1CA9"/>
    <w:rsid w:val="002A348D"/>
    <w:rsid w:val="002A7AA0"/>
    <w:rsid w:val="002B12C3"/>
    <w:rsid w:val="002B162C"/>
    <w:rsid w:val="002B1728"/>
    <w:rsid w:val="002B22BC"/>
    <w:rsid w:val="002B5EB7"/>
    <w:rsid w:val="002B62CB"/>
    <w:rsid w:val="002C6BCC"/>
    <w:rsid w:val="002E07A9"/>
    <w:rsid w:val="002F2104"/>
    <w:rsid w:val="00302E5F"/>
    <w:rsid w:val="00304D19"/>
    <w:rsid w:val="00306DD4"/>
    <w:rsid w:val="00311F14"/>
    <w:rsid w:val="00312D9F"/>
    <w:rsid w:val="00314AFC"/>
    <w:rsid w:val="003151D0"/>
    <w:rsid w:val="0032312E"/>
    <w:rsid w:val="003235C0"/>
    <w:rsid w:val="00323A34"/>
    <w:rsid w:val="003240FD"/>
    <w:rsid w:val="003273AA"/>
    <w:rsid w:val="003300FF"/>
    <w:rsid w:val="00333D8D"/>
    <w:rsid w:val="00340FE3"/>
    <w:rsid w:val="00346D03"/>
    <w:rsid w:val="00346DD1"/>
    <w:rsid w:val="00351281"/>
    <w:rsid w:val="00353D5C"/>
    <w:rsid w:val="0036252A"/>
    <w:rsid w:val="003643E2"/>
    <w:rsid w:val="00366E29"/>
    <w:rsid w:val="00367D97"/>
    <w:rsid w:val="00374819"/>
    <w:rsid w:val="003774F0"/>
    <w:rsid w:val="00382E1B"/>
    <w:rsid w:val="00383EE1"/>
    <w:rsid w:val="0038484B"/>
    <w:rsid w:val="0038591A"/>
    <w:rsid w:val="00385BDD"/>
    <w:rsid w:val="003932F5"/>
    <w:rsid w:val="003C1C30"/>
    <w:rsid w:val="003C293C"/>
    <w:rsid w:val="003C4AF4"/>
    <w:rsid w:val="003D2A11"/>
    <w:rsid w:val="003D5AA8"/>
    <w:rsid w:val="003D6580"/>
    <w:rsid w:val="003D6DDC"/>
    <w:rsid w:val="003E40ED"/>
    <w:rsid w:val="003F01DA"/>
    <w:rsid w:val="003F58DF"/>
    <w:rsid w:val="003F6858"/>
    <w:rsid w:val="0040185A"/>
    <w:rsid w:val="00403860"/>
    <w:rsid w:val="00416F1A"/>
    <w:rsid w:val="00423D6F"/>
    <w:rsid w:val="0042554B"/>
    <w:rsid w:val="00425C2D"/>
    <w:rsid w:val="00436BB2"/>
    <w:rsid w:val="00437290"/>
    <w:rsid w:val="00442C41"/>
    <w:rsid w:val="00452C72"/>
    <w:rsid w:val="00454011"/>
    <w:rsid w:val="004576C3"/>
    <w:rsid w:val="00463C18"/>
    <w:rsid w:val="0047454F"/>
    <w:rsid w:val="00476101"/>
    <w:rsid w:val="00480B6E"/>
    <w:rsid w:val="004838D0"/>
    <w:rsid w:val="0048545C"/>
    <w:rsid w:val="00490F5C"/>
    <w:rsid w:val="00492EF3"/>
    <w:rsid w:val="00496DBE"/>
    <w:rsid w:val="00496F70"/>
    <w:rsid w:val="004A1E4D"/>
    <w:rsid w:val="004B481A"/>
    <w:rsid w:val="004C1A4D"/>
    <w:rsid w:val="004C3124"/>
    <w:rsid w:val="004C641F"/>
    <w:rsid w:val="004D6ADA"/>
    <w:rsid w:val="004E0A9E"/>
    <w:rsid w:val="004E5B12"/>
    <w:rsid w:val="004E6349"/>
    <w:rsid w:val="004F3EB6"/>
    <w:rsid w:val="005011C9"/>
    <w:rsid w:val="005047B7"/>
    <w:rsid w:val="00510AAC"/>
    <w:rsid w:val="00515037"/>
    <w:rsid w:val="00530835"/>
    <w:rsid w:val="00530E01"/>
    <w:rsid w:val="0053183A"/>
    <w:rsid w:val="00533EE4"/>
    <w:rsid w:val="005354C0"/>
    <w:rsid w:val="00536A6E"/>
    <w:rsid w:val="00540019"/>
    <w:rsid w:val="00540CAD"/>
    <w:rsid w:val="0054677F"/>
    <w:rsid w:val="0055046F"/>
    <w:rsid w:val="005527E7"/>
    <w:rsid w:val="00553D4F"/>
    <w:rsid w:val="00554C60"/>
    <w:rsid w:val="00560931"/>
    <w:rsid w:val="005620F6"/>
    <w:rsid w:val="00563678"/>
    <w:rsid w:val="00574FF0"/>
    <w:rsid w:val="00580FE3"/>
    <w:rsid w:val="005959D7"/>
    <w:rsid w:val="005A4327"/>
    <w:rsid w:val="005A687E"/>
    <w:rsid w:val="005B49CC"/>
    <w:rsid w:val="005C38AC"/>
    <w:rsid w:val="005E4787"/>
    <w:rsid w:val="005E57B5"/>
    <w:rsid w:val="005E5D0B"/>
    <w:rsid w:val="005F149E"/>
    <w:rsid w:val="005F4C0D"/>
    <w:rsid w:val="005F5E18"/>
    <w:rsid w:val="00620FE1"/>
    <w:rsid w:val="00623ECF"/>
    <w:rsid w:val="00624308"/>
    <w:rsid w:val="0063570F"/>
    <w:rsid w:val="00636829"/>
    <w:rsid w:val="00636ADA"/>
    <w:rsid w:val="00643F0A"/>
    <w:rsid w:val="00656081"/>
    <w:rsid w:val="006573D6"/>
    <w:rsid w:val="006607DC"/>
    <w:rsid w:val="00661469"/>
    <w:rsid w:val="0066575C"/>
    <w:rsid w:val="00666B09"/>
    <w:rsid w:val="00670EEB"/>
    <w:rsid w:val="00671650"/>
    <w:rsid w:val="0067269C"/>
    <w:rsid w:val="00673883"/>
    <w:rsid w:val="0067402F"/>
    <w:rsid w:val="00685C49"/>
    <w:rsid w:val="0069103C"/>
    <w:rsid w:val="006A1E23"/>
    <w:rsid w:val="006B4436"/>
    <w:rsid w:val="006B6952"/>
    <w:rsid w:val="006C17CF"/>
    <w:rsid w:val="006C1A6E"/>
    <w:rsid w:val="006C28BC"/>
    <w:rsid w:val="006C2A68"/>
    <w:rsid w:val="006C331E"/>
    <w:rsid w:val="006C3C47"/>
    <w:rsid w:val="006C496D"/>
    <w:rsid w:val="006C59BA"/>
    <w:rsid w:val="006E3A83"/>
    <w:rsid w:val="006E63ED"/>
    <w:rsid w:val="007011C0"/>
    <w:rsid w:val="00703703"/>
    <w:rsid w:val="00707C61"/>
    <w:rsid w:val="00711246"/>
    <w:rsid w:val="00711AC8"/>
    <w:rsid w:val="0071299E"/>
    <w:rsid w:val="0071688C"/>
    <w:rsid w:val="00731B06"/>
    <w:rsid w:val="00737990"/>
    <w:rsid w:val="00742F3C"/>
    <w:rsid w:val="0074753E"/>
    <w:rsid w:val="00747B14"/>
    <w:rsid w:val="007673E9"/>
    <w:rsid w:val="00771982"/>
    <w:rsid w:val="007769B7"/>
    <w:rsid w:val="00780327"/>
    <w:rsid w:val="00787DF5"/>
    <w:rsid w:val="0079564D"/>
    <w:rsid w:val="007A0858"/>
    <w:rsid w:val="007A0A01"/>
    <w:rsid w:val="007A21A1"/>
    <w:rsid w:val="007A5670"/>
    <w:rsid w:val="007B28A9"/>
    <w:rsid w:val="007B77AC"/>
    <w:rsid w:val="007C3CDE"/>
    <w:rsid w:val="007C79CE"/>
    <w:rsid w:val="007D1C4B"/>
    <w:rsid w:val="007D5367"/>
    <w:rsid w:val="007D5F00"/>
    <w:rsid w:val="007E4DF0"/>
    <w:rsid w:val="007E5F27"/>
    <w:rsid w:val="007F4413"/>
    <w:rsid w:val="00800416"/>
    <w:rsid w:val="00810AC9"/>
    <w:rsid w:val="008115CA"/>
    <w:rsid w:val="00821446"/>
    <w:rsid w:val="008220EC"/>
    <w:rsid w:val="0082338D"/>
    <w:rsid w:val="00834012"/>
    <w:rsid w:val="00847514"/>
    <w:rsid w:val="00850036"/>
    <w:rsid w:val="0085015B"/>
    <w:rsid w:val="008551D1"/>
    <w:rsid w:val="008624E4"/>
    <w:rsid w:val="00864CDB"/>
    <w:rsid w:val="00865ED5"/>
    <w:rsid w:val="00867B66"/>
    <w:rsid w:val="0087068C"/>
    <w:rsid w:val="00881201"/>
    <w:rsid w:val="008842C5"/>
    <w:rsid w:val="008861E2"/>
    <w:rsid w:val="00887D43"/>
    <w:rsid w:val="0089120D"/>
    <w:rsid w:val="00892928"/>
    <w:rsid w:val="008938EC"/>
    <w:rsid w:val="008A062A"/>
    <w:rsid w:val="008B5CFF"/>
    <w:rsid w:val="008B624B"/>
    <w:rsid w:val="008C3BDC"/>
    <w:rsid w:val="008C40A1"/>
    <w:rsid w:val="008F2AFD"/>
    <w:rsid w:val="008F76C3"/>
    <w:rsid w:val="00901379"/>
    <w:rsid w:val="00910E3B"/>
    <w:rsid w:val="00911E00"/>
    <w:rsid w:val="009132A3"/>
    <w:rsid w:val="00917218"/>
    <w:rsid w:val="009177D0"/>
    <w:rsid w:val="0092230C"/>
    <w:rsid w:val="00925C1B"/>
    <w:rsid w:val="00930895"/>
    <w:rsid w:val="0093136E"/>
    <w:rsid w:val="00931C15"/>
    <w:rsid w:val="00944B23"/>
    <w:rsid w:val="0095372C"/>
    <w:rsid w:val="00963609"/>
    <w:rsid w:val="00971A17"/>
    <w:rsid w:val="00976F49"/>
    <w:rsid w:val="0098372B"/>
    <w:rsid w:val="009841AE"/>
    <w:rsid w:val="0098424A"/>
    <w:rsid w:val="00992047"/>
    <w:rsid w:val="0099258F"/>
    <w:rsid w:val="00997E30"/>
    <w:rsid w:val="009A162A"/>
    <w:rsid w:val="009B2142"/>
    <w:rsid w:val="009B777D"/>
    <w:rsid w:val="009B7A28"/>
    <w:rsid w:val="009C59D7"/>
    <w:rsid w:val="009D79E7"/>
    <w:rsid w:val="009E0ACF"/>
    <w:rsid w:val="009E1780"/>
    <w:rsid w:val="009E35F8"/>
    <w:rsid w:val="009E5F48"/>
    <w:rsid w:val="009F115C"/>
    <w:rsid w:val="009F32D2"/>
    <w:rsid w:val="00A05B99"/>
    <w:rsid w:val="00A11AD7"/>
    <w:rsid w:val="00A22690"/>
    <w:rsid w:val="00A250C6"/>
    <w:rsid w:val="00A327D7"/>
    <w:rsid w:val="00A33AD0"/>
    <w:rsid w:val="00A348F4"/>
    <w:rsid w:val="00A34A59"/>
    <w:rsid w:val="00A364E5"/>
    <w:rsid w:val="00A42E30"/>
    <w:rsid w:val="00A459A8"/>
    <w:rsid w:val="00A46EF7"/>
    <w:rsid w:val="00A4741A"/>
    <w:rsid w:val="00A52C40"/>
    <w:rsid w:val="00A5570C"/>
    <w:rsid w:val="00A5684E"/>
    <w:rsid w:val="00A62893"/>
    <w:rsid w:val="00A635DD"/>
    <w:rsid w:val="00A63A37"/>
    <w:rsid w:val="00A644D0"/>
    <w:rsid w:val="00A6544A"/>
    <w:rsid w:val="00A67239"/>
    <w:rsid w:val="00A75D33"/>
    <w:rsid w:val="00A87CC9"/>
    <w:rsid w:val="00A9362B"/>
    <w:rsid w:val="00A95887"/>
    <w:rsid w:val="00A9776F"/>
    <w:rsid w:val="00AA0CE2"/>
    <w:rsid w:val="00AA5AE5"/>
    <w:rsid w:val="00AA7DCD"/>
    <w:rsid w:val="00AC3515"/>
    <w:rsid w:val="00AD04A6"/>
    <w:rsid w:val="00AD4D63"/>
    <w:rsid w:val="00AD5375"/>
    <w:rsid w:val="00AD67FA"/>
    <w:rsid w:val="00AD6BF0"/>
    <w:rsid w:val="00AD7B0B"/>
    <w:rsid w:val="00AF4C09"/>
    <w:rsid w:val="00B00FD4"/>
    <w:rsid w:val="00B1188E"/>
    <w:rsid w:val="00B12BFD"/>
    <w:rsid w:val="00B16971"/>
    <w:rsid w:val="00B17FC9"/>
    <w:rsid w:val="00B26DA1"/>
    <w:rsid w:val="00B43A5F"/>
    <w:rsid w:val="00B4409A"/>
    <w:rsid w:val="00B51FCD"/>
    <w:rsid w:val="00B521AA"/>
    <w:rsid w:val="00B642B6"/>
    <w:rsid w:val="00B65CF3"/>
    <w:rsid w:val="00B73EFB"/>
    <w:rsid w:val="00B74B48"/>
    <w:rsid w:val="00B76A84"/>
    <w:rsid w:val="00B81A31"/>
    <w:rsid w:val="00B84B27"/>
    <w:rsid w:val="00B91A97"/>
    <w:rsid w:val="00B92435"/>
    <w:rsid w:val="00BA1B99"/>
    <w:rsid w:val="00BA4DDE"/>
    <w:rsid w:val="00BC18A4"/>
    <w:rsid w:val="00BC4891"/>
    <w:rsid w:val="00BD0A69"/>
    <w:rsid w:val="00BD4072"/>
    <w:rsid w:val="00BD6A65"/>
    <w:rsid w:val="00BD79E5"/>
    <w:rsid w:val="00BE117C"/>
    <w:rsid w:val="00BE3061"/>
    <w:rsid w:val="00BE7DDA"/>
    <w:rsid w:val="00BF501F"/>
    <w:rsid w:val="00C028AD"/>
    <w:rsid w:val="00C0375F"/>
    <w:rsid w:val="00C10F6B"/>
    <w:rsid w:val="00C13987"/>
    <w:rsid w:val="00C17991"/>
    <w:rsid w:val="00C24B07"/>
    <w:rsid w:val="00C27F2D"/>
    <w:rsid w:val="00C32A0E"/>
    <w:rsid w:val="00C40198"/>
    <w:rsid w:val="00C44FB9"/>
    <w:rsid w:val="00C4610A"/>
    <w:rsid w:val="00C55EE1"/>
    <w:rsid w:val="00C65518"/>
    <w:rsid w:val="00C665CB"/>
    <w:rsid w:val="00C87672"/>
    <w:rsid w:val="00C8770E"/>
    <w:rsid w:val="00C9225A"/>
    <w:rsid w:val="00C95D6D"/>
    <w:rsid w:val="00CA3116"/>
    <w:rsid w:val="00CA5E51"/>
    <w:rsid w:val="00CB4888"/>
    <w:rsid w:val="00CB5D4D"/>
    <w:rsid w:val="00CC0A5F"/>
    <w:rsid w:val="00CC3A63"/>
    <w:rsid w:val="00CC622C"/>
    <w:rsid w:val="00CC6C1E"/>
    <w:rsid w:val="00CD2190"/>
    <w:rsid w:val="00CD4327"/>
    <w:rsid w:val="00CE30E4"/>
    <w:rsid w:val="00CE3B3D"/>
    <w:rsid w:val="00CF2DE9"/>
    <w:rsid w:val="00CF3BA3"/>
    <w:rsid w:val="00CF514E"/>
    <w:rsid w:val="00D00F5E"/>
    <w:rsid w:val="00D025F5"/>
    <w:rsid w:val="00D06AE2"/>
    <w:rsid w:val="00D17404"/>
    <w:rsid w:val="00D2389E"/>
    <w:rsid w:val="00D24869"/>
    <w:rsid w:val="00D24C98"/>
    <w:rsid w:val="00D34615"/>
    <w:rsid w:val="00D361BD"/>
    <w:rsid w:val="00D36EBC"/>
    <w:rsid w:val="00D370BD"/>
    <w:rsid w:val="00D42AC5"/>
    <w:rsid w:val="00D4641B"/>
    <w:rsid w:val="00D4651D"/>
    <w:rsid w:val="00D529BE"/>
    <w:rsid w:val="00D64E96"/>
    <w:rsid w:val="00D724F3"/>
    <w:rsid w:val="00D76DE0"/>
    <w:rsid w:val="00D81A55"/>
    <w:rsid w:val="00D87719"/>
    <w:rsid w:val="00D906E0"/>
    <w:rsid w:val="00D95C5E"/>
    <w:rsid w:val="00D97F0E"/>
    <w:rsid w:val="00DB3A6F"/>
    <w:rsid w:val="00DB6F18"/>
    <w:rsid w:val="00DB7D6C"/>
    <w:rsid w:val="00DC775E"/>
    <w:rsid w:val="00DD1CD5"/>
    <w:rsid w:val="00DD5377"/>
    <w:rsid w:val="00DD6735"/>
    <w:rsid w:val="00DE0E04"/>
    <w:rsid w:val="00DE3D39"/>
    <w:rsid w:val="00DE5173"/>
    <w:rsid w:val="00DE609E"/>
    <w:rsid w:val="00DE79FC"/>
    <w:rsid w:val="00DF0187"/>
    <w:rsid w:val="00DF25F9"/>
    <w:rsid w:val="00DF31B1"/>
    <w:rsid w:val="00DF63FF"/>
    <w:rsid w:val="00E004B6"/>
    <w:rsid w:val="00E1420E"/>
    <w:rsid w:val="00E1529F"/>
    <w:rsid w:val="00E16D4E"/>
    <w:rsid w:val="00E202D2"/>
    <w:rsid w:val="00E22358"/>
    <w:rsid w:val="00E22EBD"/>
    <w:rsid w:val="00E24084"/>
    <w:rsid w:val="00E340FC"/>
    <w:rsid w:val="00E37482"/>
    <w:rsid w:val="00E43132"/>
    <w:rsid w:val="00E43683"/>
    <w:rsid w:val="00E51216"/>
    <w:rsid w:val="00E549AF"/>
    <w:rsid w:val="00E55197"/>
    <w:rsid w:val="00E64C86"/>
    <w:rsid w:val="00E6501B"/>
    <w:rsid w:val="00E75BE1"/>
    <w:rsid w:val="00E76378"/>
    <w:rsid w:val="00EB1357"/>
    <w:rsid w:val="00EB3598"/>
    <w:rsid w:val="00EB5546"/>
    <w:rsid w:val="00EC0390"/>
    <w:rsid w:val="00ED34B9"/>
    <w:rsid w:val="00ED6700"/>
    <w:rsid w:val="00EF592E"/>
    <w:rsid w:val="00F0174C"/>
    <w:rsid w:val="00F07080"/>
    <w:rsid w:val="00F07D2C"/>
    <w:rsid w:val="00F10665"/>
    <w:rsid w:val="00F10713"/>
    <w:rsid w:val="00F2495E"/>
    <w:rsid w:val="00F267A9"/>
    <w:rsid w:val="00F30E22"/>
    <w:rsid w:val="00F30F6B"/>
    <w:rsid w:val="00F31F81"/>
    <w:rsid w:val="00F35882"/>
    <w:rsid w:val="00F36594"/>
    <w:rsid w:val="00F45B66"/>
    <w:rsid w:val="00F53EC5"/>
    <w:rsid w:val="00F633FA"/>
    <w:rsid w:val="00F67B58"/>
    <w:rsid w:val="00F712F4"/>
    <w:rsid w:val="00F7192A"/>
    <w:rsid w:val="00F77929"/>
    <w:rsid w:val="00F92C88"/>
    <w:rsid w:val="00F94B09"/>
    <w:rsid w:val="00F97E96"/>
    <w:rsid w:val="00FA10FE"/>
    <w:rsid w:val="00FA28A4"/>
    <w:rsid w:val="00FA3757"/>
    <w:rsid w:val="00FA47D1"/>
    <w:rsid w:val="00FA56BA"/>
    <w:rsid w:val="00FB536E"/>
    <w:rsid w:val="00FC0734"/>
    <w:rsid w:val="00FD15A9"/>
    <w:rsid w:val="00FD5882"/>
    <w:rsid w:val="00FD7866"/>
    <w:rsid w:val="00FE7D6A"/>
    <w:rsid w:val="00FF51A9"/>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5E7F5D1-A897-4984-B26A-0963636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EFB"/>
    <w:pPr>
      <w:tabs>
        <w:tab w:val="center" w:pos="4252"/>
        <w:tab w:val="right" w:pos="8504"/>
      </w:tabs>
      <w:snapToGrid w:val="0"/>
    </w:pPr>
  </w:style>
  <w:style w:type="character" w:customStyle="1" w:styleId="a4">
    <w:name w:val="ヘッダー (文字)"/>
    <w:basedOn w:val="a0"/>
    <w:link w:val="a3"/>
    <w:rsid w:val="00B73EFB"/>
    <w:rPr>
      <w:kern w:val="2"/>
      <w:sz w:val="21"/>
      <w:szCs w:val="24"/>
    </w:rPr>
  </w:style>
  <w:style w:type="paragraph" w:styleId="a5">
    <w:name w:val="footer"/>
    <w:basedOn w:val="a"/>
    <w:link w:val="a6"/>
    <w:uiPriority w:val="99"/>
    <w:rsid w:val="00B73EFB"/>
    <w:pPr>
      <w:tabs>
        <w:tab w:val="center" w:pos="4252"/>
        <w:tab w:val="right" w:pos="8504"/>
      </w:tabs>
      <w:snapToGrid w:val="0"/>
    </w:pPr>
  </w:style>
  <w:style w:type="character" w:customStyle="1" w:styleId="a6">
    <w:name w:val="フッター (文字)"/>
    <w:basedOn w:val="a0"/>
    <w:link w:val="a5"/>
    <w:uiPriority w:val="99"/>
    <w:rsid w:val="00B73EFB"/>
    <w:rPr>
      <w:kern w:val="2"/>
      <w:sz w:val="21"/>
      <w:szCs w:val="24"/>
    </w:rPr>
  </w:style>
  <w:style w:type="table" w:styleId="a7">
    <w:name w:val="Table Grid"/>
    <w:basedOn w:val="a1"/>
    <w:uiPriority w:val="59"/>
    <w:rsid w:val="00B521A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521AA"/>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rsid w:val="00A4741A"/>
    <w:rPr>
      <w:rFonts w:asciiTheme="majorHAnsi" w:eastAsiaTheme="majorEastAsia" w:hAnsiTheme="majorHAnsi" w:cstheme="majorBidi"/>
      <w:sz w:val="18"/>
      <w:szCs w:val="18"/>
    </w:rPr>
  </w:style>
  <w:style w:type="character" w:customStyle="1" w:styleId="aa">
    <w:name w:val="吹き出し (文字)"/>
    <w:basedOn w:val="a0"/>
    <w:link w:val="a9"/>
    <w:rsid w:val="00A47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6A09-D569-40DB-951D-EF6AB08C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年間指導評価計画</vt:lpstr>
      <vt:lpstr>年間指導評価計画</vt:lpstr>
    </vt:vector>
  </TitlesOfParts>
  <Company>江戸川区</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年間指導評価計画</dc:title>
  <dc:creator>it653455</dc:creator>
  <cp:lastModifiedBy>教育委員会</cp:lastModifiedBy>
  <cp:revision>2</cp:revision>
  <cp:lastPrinted>2019-04-17T06:51:00Z</cp:lastPrinted>
  <dcterms:created xsi:type="dcterms:W3CDTF">2023-04-05T04:18:00Z</dcterms:created>
  <dcterms:modified xsi:type="dcterms:W3CDTF">2023-04-05T04:18:00Z</dcterms:modified>
</cp:coreProperties>
</file>